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8.0" w:type="dxa"/>
        <w:jc w:val="center"/>
        <w:tblLayout w:type="fixed"/>
        <w:tblLook w:val="0400"/>
      </w:tblPr>
      <w:tblGrid>
        <w:gridCol w:w="9648"/>
        <w:tblGridChange w:id="0">
          <w:tblGrid>
            <w:gridCol w:w="96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1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4e4e4e"/>
                <w:sz w:val="36"/>
                <w:szCs w:val="36"/>
              </w:rPr>
            </w:pPr>
            <w:bookmarkStart w:colFirst="0" w:colLast="0" w:name="_heading=h.fa1y2bitodza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e4e4e"/>
                <w:sz w:val="36"/>
                <w:szCs w:val="36"/>
                <w:rtl w:val="0"/>
              </w:rPr>
              <w:t xml:space="preserve">1.1.2 Rule of law</w:t>
            </w:r>
          </w:p>
        </w:tc>
      </w:tr>
    </w:tbl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right" w:leader="none" w:pos="4320"/>
          <w:tab w:val="left" w:leader="none" w:pos="5040"/>
          <w:tab w:val="right" w:leader="none" w:pos="9360"/>
        </w:tabs>
        <w:spacing w:after="0" w:lin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e4e4e"/>
          <w:sz w:val="20"/>
          <w:szCs w:val="20"/>
          <w:rtl w:val="0"/>
        </w:rPr>
        <w:t xml:space="preserve">Rule of law indicator |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right" w:leader="none" w:pos="4320"/>
          <w:tab w:val="left" w:leader="none" w:pos="5040"/>
          <w:tab w:val="right" w:leader="none" w:pos="9360"/>
        </w:tabs>
        <w:spacing w:after="0" w:lin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e4e4e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8898.0" w:type="dxa"/>
        <w:jc w:val="center"/>
        <w:tblLayout w:type="fixed"/>
        <w:tblLook w:val="0400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  <w:tblGridChange w:id="0">
          <w:tblGrid>
            <w:gridCol w:w="619"/>
            <w:gridCol w:w="2592"/>
            <w:gridCol w:w="576"/>
            <w:gridCol w:w="662"/>
            <w:gridCol w:w="619"/>
            <w:gridCol w:w="2592"/>
            <w:gridCol w:w="576"/>
            <w:gridCol w:w="662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Rank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Country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Value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Score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Rank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Country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Value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Score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Finland</w:t>
              <w:tab/>
              <w:t xml:space="preserve">1.97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100.00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71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Tunisia</w:t>
              <w:tab/>
              <w:t xml:space="preserve">-0.14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48.87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Denmark</w:t>
              <w:tab/>
              <w:t xml:space="preserve">1.91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98.59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72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Moldova, Rep.</w:t>
              <w:tab/>
              <w:t xml:space="preserve">-0.15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48.53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Norway</w:t>
              <w:tab/>
              <w:t xml:space="preserve">1.83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96.77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73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Indonesia</w:t>
              <w:tab/>
              <w:t xml:space="preserve">-0.15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48.51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Switzerland</w:t>
              <w:tab/>
              <w:t xml:space="preserve">1.76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95.01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74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Malawi</w:t>
              <w:tab/>
              <w:t xml:space="preserve">-0.16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48.46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Singapore</w:t>
              <w:tab/>
              <w:t xml:space="preserve">1.75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94.81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75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Albania</w:t>
              <w:tab/>
              <w:t xml:space="preserve">-0.16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48.26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Luxembourg</w:t>
              <w:tab/>
              <w:t xml:space="preserve">1.75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94.79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76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North Macedonia</w:t>
              <w:tab/>
              <w:t xml:space="preserve">-0.17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48.16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Austria</w:t>
              <w:tab/>
              <w:t xml:space="preserve">1.75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94.65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77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Egypt</w:t>
              <w:tab/>
              <w:t xml:space="preserve">-0.18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47.77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Iceland</w:t>
              <w:tab/>
              <w:t xml:space="preserve">1.72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94.03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78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Mongolia</w:t>
              <w:tab/>
              <w:t xml:space="preserve">-0.18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47.76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New Zealand</w:t>
              <w:tab/>
              <w:t xml:space="preserve">1.71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93.65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79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Senegal</w:t>
              <w:tab/>
              <w:t xml:space="preserve">-0.27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45.60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Netherlands</w:t>
              <w:tab/>
              <w:t xml:space="preserve">1.64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92.12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80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Brazil</w:t>
              <w:tab/>
              <w:t xml:space="preserve">-0.31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44.74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Ireland</w:t>
              <w:tab/>
              <w:t xml:space="preserve">1.63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91.90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81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Kenya</w:t>
              <w:tab/>
              <w:t xml:space="preserve">-0.33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44.32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Sweden</w:t>
              <w:tab/>
              <w:t xml:space="preserve">1.60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91.19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82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Panama</w:t>
              <w:tab/>
              <w:t xml:space="preserve">-0.35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43.84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Germany</w:t>
              <w:tab/>
              <w:t xml:space="preserve">1.55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89.90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83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Bosnia and Herzegovina</w:t>
              <w:tab/>
              <w:t xml:space="preserve">-0.35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43.70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Japan</w:t>
              <w:tab/>
              <w:t xml:space="preserve">1.54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89.52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84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El Salvador</w:t>
              <w:tab/>
              <w:t xml:space="preserve">-0.37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43.27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Australia</w:t>
              <w:tab/>
              <w:t xml:space="preserve">1.52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89.22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85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Tanzania, United Rep.</w:t>
              <w:tab/>
              <w:t xml:space="preserve">-0.37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43.17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Canada</w:t>
              <w:tab/>
              <w:t xml:space="preserve">1.47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88.00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86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Gambia</w:t>
              <w:tab/>
              <w:t xml:space="preserve">-0.37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43.15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Estonia</w:t>
              <w:tab/>
              <w:t xml:space="preserve">1.43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86.87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87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Argentina</w:t>
              <w:tab/>
              <w:t xml:space="preserve">-0.41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42.26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United Kingdom</w:t>
              <w:tab/>
              <w:t xml:space="preserve">1.40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86.19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88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Philippines</w:t>
              <w:tab/>
              <w:t xml:space="preserve">-0.42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42.09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United States of America</w:t>
              <w:tab/>
              <w:t xml:space="preserve">1.33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84.48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89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Kazakhstan</w:t>
              <w:tab/>
              <w:t xml:space="preserve">-0.45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41.39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Belgium</w:t>
              <w:tab/>
              <w:t xml:space="preserve">1.30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83.69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90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Colombia</w:t>
              <w:tab/>
              <w:t xml:space="preserve">-0.46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41.11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Lithuania</w:t>
              <w:tab/>
              <w:t xml:space="preserve">1.27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83.01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91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Côte d’Ivoire</w:t>
              <w:tab/>
              <w:t xml:space="preserve">-0.46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41.04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Korea, Rep.</w:t>
              <w:tab/>
              <w:t xml:space="preserve">1.25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82.55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92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Nepal</w:t>
              <w:tab/>
              <w:t xml:space="preserve">-0.46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41.01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France</w:t>
              <w:tab/>
              <w:t xml:space="preserve">1.18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80.90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93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Uganda</w:t>
              <w:tab/>
              <w:t xml:space="preserve">-0.47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40.71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Czech Republic</w:t>
              <w:tab/>
              <w:t xml:space="preserve">1.14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79.97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94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Lesotho</w:t>
              <w:tab/>
              <w:t xml:space="preserve">-0.48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40.58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Portugal</w:t>
              <w:tab/>
              <w:t xml:space="preserve">1.07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78.16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95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Bangladesh</w:t>
              <w:tab/>
              <w:t xml:space="preserve">-0.50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40.04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Latvia</w:t>
              <w:tab/>
              <w:t xml:space="preserve">1.04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77.49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96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Benin</w:t>
              <w:tab/>
              <w:t xml:space="preserve">-0.51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39.96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Slovenia</w:t>
              <w:tab/>
              <w:t xml:space="preserve">1.04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77.46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97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Türkiye</w:t>
              <w:tab/>
              <w:t xml:space="preserve">-0.51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39.81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Qatar</w:t>
              <w:tab/>
              <w:t xml:space="preserve">0.93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74.89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98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Peru</w:t>
              <w:tab/>
              <w:t xml:space="preserve">-0.54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39.17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Brunei Darussalam</w:t>
              <w:tab/>
              <w:t xml:space="preserve">0.89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73.77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99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Azerbaijan</w:t>
              <w:tab/>
              <w:t xml:space="preserve">-0.57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38.48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United Arab Emirates</w:t>
              <w:tab/>
              <w:t xml:space="preserve">0.88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73.65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Paraguay</w:t>
              <w:tab/>
              <w:t xml:space="preserve">-0.58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38.10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Spain</w:t>
              <w:tab/>
              <w:t xml:space="preserve">0.82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72.22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101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Eswatini</w:t>
              <w:tab/>
              <w:t xml:space="preserve">-0.60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37.73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Mauritius</w:t>
              <w:tab/>
              <w:t xml:space="preserve">0.81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71.79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102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Mauritania</w:t>
              <w:tab/>
              <w:t xml:space="preserve">-0.64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36.72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Israel</w:t>
              <w:tab/>
              <w:t xml:space="preserve">0.78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71.27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103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Algeria</w:t>
              <w:tab/>
              <w:t xml:space="preserve">-0.68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35.77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Uruguay</w:t>
              <w:tab/>
              <w:t xml:space="preserve">0.72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69.66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104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Niger</w:t>
              <w:tab/>
              <w:t xml:space="preserve">-0.71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35.05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Malta</w:t>
              <w:tab/>
              <w:t xml:space="preserve">0.70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69.29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105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Burkina Faso</w:t>
              <w:tab/>
              <w:t xml:space="preserve">-0.74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34.23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Cyprus</w:t>
              <w:tab/>
              <w:t xml:space="preserve">0.63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67.49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106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Mexico</w:t>
              <w:tab/>
              <w:t xml:space="preserve">-0.81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32.66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Chile</w:t>
              <w:tab/>
              <w:t xml:space="preserve">0.63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67.42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107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Cambodia</w:t>
              <w:tab/>
              <w:t xml:space="preserve">-0.82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32.35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Oman</w:t>
              <w:tab/>
              <w:t xml:space="preserve">0.61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67.12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108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Uzbekistan</w:t>
              <w:tab/>
              <w:t xml:space="preserve">-0.83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32.02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Slovakia</w:t>
              <w:tab/>
              <w:t xml:space="preserve">0.60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66.89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109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Lao PDR</w:t>
              <w:tab/>
              <w:t xml:space="preserve">-0.83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32.02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Malaysia</w:t>
              <w:tab/>
              <w:t xml:space="preserve">0.57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66.13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110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Pakistan</w:t>
              <w:tab/>
              <w:t xml:space="preserve">-0.86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31.36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Bahrain</w:t>
              <w:tab/>
              <w:t xml:space="preserve">0.47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63.62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111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Nigeria</w:t>
              <w:tab/>
              <w:t xml:space="preserve">-0.89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30.69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Poland</w:t>
              <w:tab/>
              <w:t xml:space="preserve">0.46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63.38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112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Ukraine</w:t>
              <w:tab/>
              <w:t xml:space="preserve">-0.89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30.67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Namibia</w:t>
              <w:tab/>
              <w:t xml:space="preserve">0.45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63.06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113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Ecuador</w:t>
              <w:tab/>
              <w:t xml:space="preserve">-0.96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28.98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Romania</w:t>
              <w:tab/>
              <w:t xml:space="preserve">0.44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62.86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114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Madagascar</w:t>
              <w:tab/>
              <w:t xml:space="preserve">-0.97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28.57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Seychelles</w:t>
              <w:tab/>
              <w:t xml:space="preserve">0.43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62.75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115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Mali</w:t>
              <w:tab/>
              <w:t xml:space="preserve">-0.98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28.50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Hungary</w:t>
              <w:tab/>
              <w:t xml:space="preserve">0.43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62.61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116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Mozambique</w:t>
              <w:tab/>
              <w:t xml:space="preserve">-1.03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27.32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Saudi Arabia</w:t>
              <w:tab/>
              <w:t xml:space="preserve">0.41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62.31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117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Cameroon</w:t>
              <w:tab/>
              <w:t xml:space="preserve">-1.04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27.03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Cabo Verde</w:t>
              <w:tab/>
              <w:t xml:space="preserve">0.40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61.95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118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Iran, Islamic Rep.</w:t>
              <w:tab/>
              <w:t xml:space="preserve">-1.06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26.48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Botswana</w:t>
              <w:tab/>
              <w:t xml:space="preserve">0.39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61.72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119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Guatemala</w:t>
              <w:tab/>
              <w:t xml:space="preserve">-1.08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26.13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Italy</w:t>
              <w:tab/>
              <w:t xml:space="preserve">0.39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61.72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120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Honduras</w:t>
              <w:tab/>
              <w:t xml:space="preserve">-1.10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25.65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51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Costa Rica</w:t>
              <w:tab/>
              <w:t xml:space="preserve">0.39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61.69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121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Angola</w:t>
              <w:tab/>
              <w:t xml:space="preserve">-1.10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25.55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52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Croatia</w:t>
              <w:tab/>
              <w:t xml:space="preserve">0.36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61.00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122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Lebanon</w:t>
              <w:tab/>
              <w:t xml:space="preserve">-1.17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23.95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53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Kuwait</w:t>
              <w:tab/>
              <w:t xml:space="preserve">0.34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60.54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123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Kyrgyzstan</w:t>
              <w:tab/>
              <w:t xml:space="preserve">-1.17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23.73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54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Jordan</w:t>
              <w:tab/>
              <w:t xml:space="preserve">0.26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58.50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124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Russian Federation</w:t>
              <w:tab/>
              <w:t xml:space="preserve">-1.19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23.40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55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Thailand</w:t>
              <w:tab/>
              <w:t xml:space="preserve">0.24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58.19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125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Bolivia, Plurinational St.</w:t>
              <w:tab/>
              <w:t xml:space="preserve">-1.22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22.63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56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Greece</w:t>
              <w:tab/>
              <w:t xml:space="preserve">0.21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57.42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126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Belarus</w:t>
              <w:tab/>
              <w:t xml:space="preserve">-1.25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21.87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57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Rwanda</w:t>
              <w:tab/>
              <w:t xml:space="preserve">0.21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57.22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127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Burundi</w:t>
              <w:tab/>
              <w:t xml:space="preserve">-1.25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21.86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58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India</w:t>
              <w:tab/>
              <w:t xml:space="preserve">0.19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56.81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128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Zimbabwe</w:t>
              <w:tab/>
              <w:t xml:space="preserve">-1.28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21.23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59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Georgia</w:t>
              <w:tab/>
              <w:t xml:space="preserve">0.18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56.54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129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Tajikistan</w:t>
              <w:tab/>
              <w:t xml:space="preserve">-1.28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21.23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South Africa</w:t>
              <w:tab/>
              <w:t xml:space="preserve">0.09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54.33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130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Nicaragua</w:t>
              <w:tab/>
              <w:t xml:space="preserve">-1.28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21.21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Bulgaria</w:t>
              <w:tab/>
              <w:t xml:space="preserve">-0.01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52.07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131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Chad</w:t>
              <w:tab/>
              <w:t xml:space="preserve">-1.35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19.36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China</w:t>
              <w:tab/>
              <w:t xml:space="preserve">-0.04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51.27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132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Myanmar</w:t>
              <w:tab/>
              <w:t xml:space="preserve">-1.62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12.98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Montenegro</w:t>
              <w:tab/>
              <w:t xml:space="preserve">-0.04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51.22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133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Congo, Dem. Rep.</w:t>
              <w:tab/>
              <w:t xml:space="preserve">-1.67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11.67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Serbia</w:t>
              <w:tab/>
              <w:t xml:space="preserve">-0.07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50.43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134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Yemen</w:t>
              <w:tab/>
              <w:t xml:space="preserve">-1.84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7.59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Viet Nam</w:t>
              <w:tab/>
              <w:t xml:space="preserve">-0.09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50.16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135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Venezuela, Bolivarian Republic of</w:t>
              <w:tab/>
              <w:t xml:space="preserve">-2.15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0.00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Sri Lanka</w:t>
              <w:tab/>
              <w:t xml:space="preserve">-0.09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50.04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Ghana</w:t>
              <w:tab/>
              <w:t xml:space="preserve">-0.10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49.82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Armenia</w:t>
              <w:tab/>
              <w:t xml:space="preserve">-0.12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49.28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69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Morocco</w:t>
              <w:tab/>
              <w:t xml:space="preserve">-0.13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49.14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70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Dominican Republic</w:t>
              <w:tab/>
              <w:t xml:space="preserve">-0.13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  <w:rtl w:val="0"/>
              </w:rPr>
              <w:t xml:space="preserve">49.12</w:t>
            </w:r>
          </w:p>
        </w:tc>
        <w:tc>
          <w:tcPr>
            <w:tcBorders>
              <w:top w:color="000000" w:space="0" w:sz="0" w:val="nil"/>
              <w:left w:color="ffffff" w:space="0" w:sz="6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320"/>
                <w:tab w:val="left" w:leader="none" w:pos="5040"/>
                <w:tab w:val="right" w:leader="none" w:pos="9360"/>
              </w:tabs>
              <w:spacing w:after="0" w:line="240" w:lineRule="auto"/>
              <w:ind w:left="100" w:right="100" w:firstLine="0"/>
              <w:jc w:val="center"/>
              <w:rPr>
                <w:rFonts w:ascii="Helvetica Neue" w:cs="Helvetica Neue" w:eastAsia="Helvetica Neue" w:hAnsi="Helvetica Neue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right" w:leader="none" w:pos="4320"/>
          <w:tab w:val="left" w:leader="none" w:pos="5040"/>
          <w:tab w:val="right" w:leader="none" w:pos="9360"/>
        </w:tabs>
        <w:spacing w:after="0" w:lin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e4e4e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right" w:leader="none" w:pos="4320"/>
          <w:tab w:val="left" w:leader="none" w:pos="5040"/>
          <w:tab w:val="right" w:leader="none" w:pos="9360"/>
        </w:tabs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4"/>
          <w:szCs w:val="14"/>
          <w:rtl w:val="0"/>
        </w:rPr>
        <w:t xml:space="preserve">SOURCE: </w:t>
      </w:r>
      <w:r w:rsidDel="00000000" w:rsidR="00000000" w:rsidRPr="00000000">
        <w:rPr>
          <w:rFonts w:ascii="Arial" w:cs="Arial" w:eastAsia="Arial" w:hAnsi="Arial"/>
          <w:color w:val="000000"/>
          <w:sz w:val="14"/>
          <w:szCs w:val="14"/>
          <w:rtl w:val="0"/>
        </w:rPr>
        <w:t xml:space="preserve">The Worldwide Governance Indicators, 2024 Update (www.govindicators.org)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right" w:leader="none" w:pos="4320"/>
          <w:tab w:val="left" w:leader="none" w:pos="5040"/>
          <w:tab w:val="right" w:leader="none" w:pos="9360"/>
        </w:tabs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14"/>
          <w:szCs w:val="14"/>
          <w:rtl w:val="0"/>
        </w:rPr>
        <w:t xml:space="preserve">For some countries, the latest year for which data are available may differ from the year that appears at the top of the page. The cut-off year is 2014.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1296" w:right="129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630" w:right="0" w:firstLine="0"/>
      <w:jc w:val="left"/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938536" cy="440088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38536" cy="4400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tabs>
          <w:tab w:val="right" w:leader="none" w:pos="4320"/>
          <w:tab w:val="left" w:leader="none" w:pos="5040"/>
          <w:tab w:val="right" w:leader="none" w:pos="9360"/>
        </w:tabs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 w:val="1"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90789"/>
  </w:style>
  <w:style w:type="paragraph" w:styleId="centered" w:customStyle="1">
    <w:name w:val="centered"/>
    <w:basedOn w:val="Normal"/>
    <w:qFormat w:val="1"/>
    <w:rsid w:val="003321E8"/>
    <w:pPr>
      <w:jc w:val="center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7UA8yFOfkskAoFPQ/rGQTdMgVg==">CgMxLjAyDmguZmExeTJiaXRvZHphOAByITFDdld2cWRuTXBkdWE1ai1NaUNMc2RCV1lVNC1aWkFKZA==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2025-10-20T00:53:00Z</dcterms:created>
  <dc:creator>Abdel</dc:creator>
</cp:coreProperties>
</file>